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E0" w:rsidRPr="006A6447" w:rsidRDefault="008132E0" w:rsidP="00F804CF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6A6447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Отчеты НКО. Какую отчетность НКО должны сдать</w:t>
      </w:r>
    </w:p>
    <w:p w:rsidR="008132E0" w:rsidRPr="00833BDD" w:rsidRDefault="008132E0" w:rsidP="00F804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уставной деятельности </w:t>
      </w:r>
      <w:hyperlink r:id="rId6" w:history="1">
        <w:r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некоммерческих организаций</w:t>
        </w:r>
      </w:hyperlink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связана с получением прибыли. Дополнительно в НКО может быть выручка и прибыль, которая направляется на уставные цели. Возникает раздельный бухгалтерский учет этих двух направлений, которые необходимо достоверно отражать и предоставлять по ним раздельную отчетность.</w:t>
      </w:r>
    </w:p>
    <w:p w:rsidR="008132E0" w:rsidRPr="00833BDD" w:rsidRDefault="008132E0" w:rsidP="00F804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Вопрос большой, рассмотрим его, исходя из направлений предоставления отчетности. Не забывайте, что за каждый не сданный в срок отчет штраф составит от 500 до 2000 рублей, плюс пени и штраф на неоплаченный согласно отчету налог!</w:t>
      </w:r>
    </w:p>
    <w:p w:rsidR="008132E0" w:rsidRPr="00833BDD" w:rsidRDefault="00F804CF" w:rsidP="00F804C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anchor="%D0%91%D1%83%D1%85%D0%B3%D0%B0%D0%BB%D1%82%D0%B5%D1%80%D1%81%D0%BA%D0%B0%D1%8F%20%D0%BE%D1%82%D1%87%D0%B5%D1%82%D0%BD%D0%BE%D1%81%D1%82%D1%8C%20%D0%9D%D0%9A%D0%9E" w:history="1">
        <w:r w:rsidR="008132E0"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Бухгалтерская отчетность НКО</w:t>
        </w:r>
      </w:hyperlink>
    </w:p>
    <w:p w:rsidR="008132E0" w:rsidRPr="00833BDD" w:rsidRDefault="00F804CF" w:rsidP="00F804C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anchor="%D0%9E%D1%82%D1%87%D0%B5%D1%82%D1%8B%20%D0%9D%D0%9A%D0%9E%20%D0%B2%20%D0%9C%D0%B8%D0%BD%D1%8E%D1%81%D1%82" w:history="1">
        <w:r w:rsidR="008132E0"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Отчеты НКО в Минюст</w:t>
        </w:r>
      </w:hyperlink>
    </w:p>
    <w:p w:rsidR="008132E0" w:rsidRPr="00833BDD" w:rsidRDefault="00F804CF" w:rsidP="00F804C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anchor="%D0%9D%D0%B0%D0%BB%D0%BE%D0%B3%D0%BE%D0%B2%D0%B0%D1%8F%20%D0%BE%D1%82%D1%87%D0%B5%D1%82%D0%BD%D0%BE%D1%81%D1%82%D1%8C%20%D0%9D%D0%9A%D0%9E" w:history="1">
        <w:r w:rsidR="008132E0"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Налоговая отчетность НКО</w:t>
        </w:r>
      </w:hyperlink>
    </w:p>
    <w:p w:rsidR="008132E0" w:rsidRPr="00833BDD" w:rsidRDefault="00F804CF" w:rsidP="00F804C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anchor="%D0%9E%D1%82%D1%87%D0%B5%D1%82%D0%BD%D0%BE%D1%81%D1%82%D1%8C%20%D0%B7%D0%B0%20%D1%81%D0%BE%D1%82%D1%80%D1%83%D0%B4%D0%BD%D0%B8%D0%BA%D0%BE%D0%B2%20%D0%9D%D0%9A%D0%9E" w:history="1">
        <w:r w:rsidR="008132E0"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Отчетность за сотрудников НКО</w:t>
        </w:r>
      </w:hyperlink>
    </w:p>
    <w:p w:rsidR="008132E0" w:rsidRPr="00833BDD" w:rsidRDefault="00F804CF" w:rsidP="00F804C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1" w:anchor="%D0%9E%D1%82%D1%87%D0%B5%D1%82%D0%BD%D0%BE%D1%81%D1%82%D1%8C%20%D0%BF%D0%BE%20%D1%81%D1%82%D1%80%D0%B0%D1%85%D0%BE%D0%B2%D1%8B%D0%BC%20%D0%B2%D0%B7%D0%BD%D0%BE%D1%81%D0%B0%D0%BC" w:history="1">
        <w:r w:rsidR="008132E0"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Отчетность по страховым взносам</w:t>
        </w:r>
      </w:hyperlink>
    </w:p>
    <w:p w:rsidR="008132E0" w:rsidRPr="00833BDD" w:rsidRDefault="00F804CF" w:rsidP="00F804C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2" w:anchor="%D0%9E%D1%82%D1%87%D0%B5%D1%82%D1%8B%20%D0%9D%D0%9A%D0%9E%20%D0%B2%20%D0%A0%D0%BE%D1%81%D1%81%D1%82%D0%B0%D1%82%202022" w:history="1">
        <w:r w:rsidR="008132E0"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Отчеты НКО в Росстат 2022</w:t>
        </w:r>
      </w:hyperlink>
    </w:p>
    <w:p w:rsidR="008132E0" w:rsidRPr="00833BDD" w:rsidRDefault="00F804CF" w:rsidP="00F804C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3" w:anchor="%D0%9A%D0%B0%D0%BA%D0%B8%D0%B5%20%D1%88%D1%82%D1%80%D0%B0%D1%84%D1%8B%20%D0%B7%D0%B0%20%D0%BD%D0%B5%D0%BF%D1%80%D0%B5%D0%B4%D1%81%D1%82%D0%B0%D0%B2%D0%BB%D0%B5%D0%BD%D0%B8%D0%B5%20%D0%9D%D0%9A%D0%9E%20%D0%BE%D1%82%D1%87%D0%B5%D1%82%D0%BD%D0%BE%D1%81%D1%82" w:history="1">
        <w:r w:rsidR="008132E0"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Какие есть штрафы за непредставление НКО отчетности</w:t>
        </w:r>
      </w:hyperlink>
    </w:p>
    <w:p w:rsidR="008132E0" w:rsidRPr="00833BDD" w:rsidRDefault="008132E0" w:rsidP="00F804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Некоммерческим организациям необходимо обеспечить своевременную сдачу отчетности и правильное заполнение представляемых документов. Следует знать, что довольно часто ошибки в отчетах, сдаваемых в различные государственные органы, становятся причиной претензий к НКО, которую могут обвинить в нарушении законодательства, приостановив деятельность. Первый обязательный отчет НКО сдает 15 числа следующего месяца после регистрации в ФНС.</w:t>
      </w:r>
    </w:p>
    <w:p w:rsidR="008132E0" w:rsidRPr="00833BDD" w:rsidRDefault="008132E0" w:rsidP="00F804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достоверной отчетности</w:t>
      </w:r>
      <w:r w:rsidRPr="00833B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8132E0" w:rsidRPr="00833BDD" w:rsidRDefault="008132E0" w:rsidP="00F804C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Грамотно отразить добровольные взносы и пожертвования, чтобы </w:t>
      </w:r>
      <w:proofErr w:type="spellStart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</w:t>
      </w:r>
      <w:proofErr w:type="gramStart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.о</w:t>
      </w:r>
      <w:proofErr w:type="gramEnd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рганы</w:t>
      </w:r>
      <w:proofErr w:type="spellEnd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признали их выручкой и не начислили налоги;</w:t>
      </w:r>
    </w:p>
    <w:p w:rsidR="008132E0" w:rsidRPr="00833BDD" w:rsidRDefault="008132E0" w:rsidP="00F804C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Сдать более 36 отчетов в </w:t>
      </w:r>
      <w:proofErr w:type="gramStart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Налоговую</w:t>
      </w:r>
      <w:proofErr w:type="gramEnd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ПФР, ФСС, Росстат, Минюст и избежать штрафа;</w:t>
      </w:r>
    </w:p>
    <w:p w:rsidR="008132E0" w:rsidRPr="00833BDD" w:rsidRDefault="008132E0" w:rsidP="00F804C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Увеличить прозрачность некоммерческой организации и поднять уровень доверия в обществе;</w:t>
      </w:r>
    </w:p>
    <w:p w:rsidR="008132E0" w:rsidRPr="00833BDD" w:rsidRDefault="008132E0" w:rsidP="00F804CF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Подтверждение целевого расходования средств на уставные цели.</w:t>
      </w:r>
    </w:p>
    <w:p w:rsidR="008132E0" w:rsidRPr="00833BDD" w:rsidRDefault="008132E0" w:rsidP="00F804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B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Отчетность некоммерческих организаций значительно отличается </w:t>
      </w:r>
      <w:proofErr w:type="gramStart"/>
      <w:r w:rsidRPr="00833B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</w:t>
      </w:r>
      <w:proofErr w:type="gramEnd"/>
      <w:r w:rsidRPr="00833BD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коммерческих:</w:t>
      </w:r>
    </w:p>
    <w:p w:rsidR="008132E0" w:rsidRPr="00833BDD" w:rsidRDefault="008132E0" w:rsidP="00F804C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НКО сдают другую форму баланса;</w:t>
      </w:r>
    </w:p>
    <w:p w:rsidR="008132E0" w:rsidRPr="00833BDD" w:rsidRDefault="008132E0" w:rsidP="00F804C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Всегда заполняют в балансе форму 6, отчет о целевом использовании средств;</w:t>
      </w:r>
    </w:p>
    <w:p w:rsidR="008132E0" w:rsidRPr="00833BDD" w:rsidRDefault="008132E0" w:rsidP="00F804C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отчитываются в Минюст;</w:t>
      </w:r>
    </w:p>
    <w:p w:rsidR="008132E0" w:rsidRPr="00833BDD" w:rsidRDefault="008132E0" w:rsidP="00F804C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Заполняют дополнительные листы декларации УСН или прибыли;</w:t>
      </w:r>
    </w:p>
    <w:p w:rsidR="008132E0" w:rsidRPr="00833BDD" w:rsidRDefault="008132E0" w:rsidP="00F804C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Всегда попадают в выборку дополнительных отчетов Росстата;</w:t>
      </w:r>
    </w:p>
    <w:p w:rsidR="008132E0" w:rsidRPr="00833BDD" w:rsidRDefault="008132E0" w:rsidP="00F804C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Иначе отражают льготы по страховым взносам в </w:t>
      </w:r>
      <w:proofErr w:type="gramStart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налоговую</w:t>
      </w:r>
      <w:proofErr w:type="gramEnd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8132E0" w:rsidRPr="00570C91" w:rsidRDefault="008132E0" w:rsidP="00F804C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70C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многое другое.</w:t>
      </w:r>
      <w:bookmarkStart w:id="0" w:name="_GoBack"/>
      <w:bookmarkEnd w:id="0"/>
    </w:p>
    <w:p w:rsidR="008132E0" w:rsidRPr="001218FE" w:rsidRDefault="008132E0" w:rsidP="00F804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18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Некоммерческим организациям наряду с другими предприятиями и структурами необходимо подготавливать документацию для сдачи в контролирующие органы в виде отчетности — налоговой, бухгалтерской и статистической. Также НКО отчитываются по страховым взносам и сдают специальные отчеты в Минюст РФ. Чтобы своевременно представить все необходимые документы и избежать проблем с законодательством, субъекты некоммерческой деятельности должны знать, какие отчеты </w:t>
      </w:r>
      <w:r w:rsidRPr="001218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сдают НКО, сроки их сдачи и другие аспекты отчетности, требующие особенного внимания.</w:t>
      </w:r>
    </w:p>
    <w:p w:rsidR="008132E0" w:rsidRPr="00833BDD" w:rsidRDefault="008132E0" w:rsidP="00F804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 2023 году отчетность сдается с использованием ЭЦП (Электронно-цифровая подпись), через интернет с помощью программ </w:t>
      </w:r>
      <w:proofErr w:type="spellStart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спецоператоров</w:t>
      </w:r>
      <w:proofErr w:type="spellEnd"/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132E0" w:rsidRPr="00833BDD" w:rsidRDefault="008132E0" w:rsidP="00F804C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Приведем список минимальной отчетности нулевой НКО в 2023 году:</w:t>
      </w:r>
    </w:p>
    <w:p w:rsidR="008132E0" w:rsidRPr="00833BDD" w:rsidRDefault="008132E0" w:rsidP="00F804C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ОСНО — </w:t>
      </w:r>
      <w:hyperlink r:id="rId14" w:history="1">
        <w:r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список отчетности для НКО на ОСНО</w:t>
        </w:r>
      </w:hyperlink>
    </w:p>
    <w:p w:rsidR="008132E0" w:rsidRPr="00833BDD" w:rsidRDefault="008132E0" w:rsidP="00F804CF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33B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УСН — </w:t>
      </w:r>
      <w:hyperlink r:id="rId15" w:history="1">
        <w:r w:rsidRPr="00833BDD">
          <w:rPr>
            <w:rFonts w:ascii="Times New Roman" w:eastAsia="Times New Roman" w:hAnsi="Times New Roman" w:cs="Times New Roman"/>
            <w:b/>
            <w:bCs/>
            <w:color w:val="045577"/>
            <w:sz w:val="24"/>
            <w:szCs w:val="24"/>
            <w:lang w:eastAsia="ru-RU"/>
          </w:rPr>
          <w:t>список отчетности для НКО на УСН</w:t>
        </w:r>
      </w:hyperlink>
    </w:p>
    <w:p w:rsidR="0043031E" w:rsidRPr="00833BDD" w:rsidRDefault="0043031E" w:rsidP="00F804CF">
      <w:pPr>
        <w:spacing w:after="0"/>
        <w:rPr>
          <w:rFonts w:ascii="Times New Roman" w:hAnsi="Times New Roman" w:cs="Times New Roman"/>
        </w:rPr>
      </w:pPr>
    </w:p>
    <w:p w:rsidR="00F804CF" w:rsidRPr="00833BDD" w:rsidRDefault="00F804CF">
      <w:pPr>
        <w:spacing w:after="0"/>
        <w:rPr>
          <w:rFonts w:ascii="Times New Roman" w:hAnsi="Times New Roman" w:cs="Times New Roman"/>
        </w:rPr>
      </w:pPr>
    </w:p>
    <w:sectPr w:rsidR="00F804CF" w:rsidRPr="0083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E46"/>
    <w:multiLevelType w:val="multilevel"/>
    <w:tmpl w:val="EDA0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469"/>
    <w:multiLevelType w:val="multilevel"/>
    <w:tmpl w:val="886C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3AE2"/>
    <w:multiLevelType w:val="multilevel"/>
    <w:tmpl w:val="5D02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156D6"/>
    <w:multiLevelType w:val="multilevel"/>
    <w:tmpl w:val="3634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8444F"/>
    <w:multiLevelType w:val="multilevel"/>
    <w:tmpl w:val="8C16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56B31"/>
    <w:multiLevelType w:val="multilevel"/>
    <w:tmpl w:val="F6E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A44CE"/>
    <w:multiLevelType w:val="multilevel"/>
    <w:tmpl w:val="BF4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E51EF"/>
    <w:multiLevelType w:val="multilevel"/>
    <w:tmpl w:val="28C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F498B"/>
    <w:multiLevelType w:val="multilevel"/>
    <w:tmpl w:val="58F6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02302"/>
    <w:multiLevelType w:val="multilevel"/>
    <w:tmpl w:val="8F4E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558EA"/>
    <w:multiLevelType w:val="multilevel"/>
    <w:tmpl w:val="B50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E4020"/>
    <w:multiLevelType w:val="multilevel"/>
    <w:tmpl w:val="7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07E2F"/>
    <w:multiLevelType w:val="multilevel"/>
    <w:tmpl w:val="3EE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90D6A"/>
    <w:multiLevelType w:val="multilevel"/>
    <w:tmpl w:val="9B12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E3F5D"/>
    <w:multiLevelType w:val="multilevel"/>
    <w:tmpl w:val="438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3487D"/>
    <w:multiLevelType w:val="multilevel"/>
    <w:tmpl w:val="51BE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85C5A"/>
    <w:multiLevelType w:val="multilevel"/>
    <w:tmpl w:val="5BCC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22BE9"/>
    <w:multiLevelType w:val="multilevel"/>
    <w:tmpl w:val="89A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F4236"/>
    <w:multiLevelType w:val="multilevel"/>
    <w:tmpl w:val="A204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863F5"/>
    <w:multiLevelType w:val="multilevel"/>
    <w:tmpl w:val="DF3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5173A"/>
    <w:multiLevelType w:val="multilevel"/>
    <w:tmpl w:val="861A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A1652"/>
    <w:multiLevelType w:val="multilevel"/>
    <w:tmpl w:val="EAB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4F48B4"/>
    <w:multiLevelType w:val="multilevel"/>
    <w:tmpl w:val="DDA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F487A"/>
    <w:multiLevelType w:val="multilevel"/>
    <w:tmpl w:val="8500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92FB4"/>
    <w:multiLevelType w:val="multilevel"/>
    <w:tmpl w:val="A33A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00C94"/>
    <w:multiLevelType w:val="multilevel"/>
    <w:tmpl w:val="7A26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3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7"/>
  </w:num>
  <w:num w:numId="10">
    <w:abstractNumId w:val="3"/>
  </w:num>
  <w:num w:numId="11">
    <w:abstractNumId w:val="11"/>
  </w:num>
  <w:num w:numId="12">
    <w:abstractNumId w:val="22"/>
  </w:num>
  <w:num w:numId="13">
    <w:abstractNumId w:val="18"/>
  </w:num>
  <w:num w:numId="14">
    <w:abstractNumId w:val="19"/>
  </w:num>
  <w:num w:numId="15">
    <w:abstractNumId w:val="9"/>
  </w:num>
  <w:num w:numId="16">
    <w:abstractNumId w:val="20"/>
  </w:num>
  <w:num w:numId="17">
    <w:abstractNumId w:val="10"/>
  </w:num>
  <w:num w:numId="18">
    <w:abstractNumId w:val="12"/>
  </w:num>
  <w:num w:numId="19">
    <w:abstractNumId w:val="14"/>
  </w:num>
  <w:num w:numId="20">
    <w:abstractNumId w:val="21"/>
  </w:num>
  <w:num w:numId="21">
    <w:abstractNumId w:val="24"/>
  </w:num>
  <w:num w:numId="22">
    <w:abstractNumId w:val="16"/>
  </w:num>
  <w:num w:numId="23">
    <w:abstractNumId w:val="6"/>
  </w:num>
  <w:num w:numId="24">
    <w:abstractNumId w:val="8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7F"/>
    <w:rsid w:val="001218FE"/>
    <w:rsid w:val="001C1A19"/>
    <w:rsid w:val="0043031E"/>
    <w:rsid w:val="00570C91"/>
    <w:rsid w:val="006A6447"/>
    <w:rsid w:val="008132E0"/>
    <w:rsid w:val="00833BDD"/>
    <w:rsid w:val="00F804CF"/>
    <w:rsid w:val="00F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3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32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32E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3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3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32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32E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3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1" w:color="FFC107"/>
            <w:bottom w:val="none" w:sz="0" w:space="0" w:color="auto"/>
            <w:right w:val="none" w:sz="0" w:space="0" w:color="auto"/>
          </w:divBdr>
        </w:div>
      </w:divsChild>
    </w:div>
    <w:div w:id="156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-nko.ru/sub/Otchety_NKO" TargetMode="External"/><Relationship Id="rId13" Type="http://schemas.openxmlformats.org/officeDocument/2006/relationships/hyperlink" Target="https://reg-nko.ru/sub/Otchety_NK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g-nko.ru/sub/Otchety_NKO" TargetMode="External"/><Relationship Id="rId12" Type="http://schemas.openxmlformats.org/officeDocument/2006/relationships/hyperlink" Target="https://reg-nko.ru/sub/Otchety_NK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g-nko.ru/div/Ob_NKO" TargetMode="External"/><Relationship Id="rId11" Type="http://schemas.openxmlformats.org/officeDocument/2006/relationships/hyperlink" Target="https://reg-nko.ru/sub/Otchety_NK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-nko.ru/i/docs/NKO-na_USN.xlsx" TargetMode="External"/><Relationship Id="rId10" Type="http://schemas.openxmlformats.org/officeDocument/2006/relationships/hyperlink" Target="https://reg-nko.ru/sub/Otchety_NK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-nko.ru/sub/Otchety_NKO" TargetMode="External"/><Relationship Id="rId14" Type="http://schemas.openxmlformats.org/officeDocument/2006/relationships/hyperlink" Target="https://reg-nko.ru/i/docs/NKO_na_OSNO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Александр В. Петрунько</cp:lastModifiedBy>
  <cp:revision>9</cp:revision>
  <dcterms:created xsi:type="dcterms:W3CDTF">2023-01-23T06:47:00Z</dcterms:created>
  <dcterms:modified xsi:type="dcterms:W3CDTF">2023-02-20T03:04:00Z</dcterms:modified>
</cp:coreProperties>
</file>